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EA" w:rsidRDefault="008B1E30">
      <w:pPr>
        <w:spacing w:after="146"/>
        <w:ind w:left="253"/>
        <w:jc w:val="center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DF18EA" w:rsidRDefault="008B1E30" w:rsidP="00F92878">
      <w:pPr>
        <w:tabs>
          <w:tab w:val="center" w:pos="2336"/>
          <w:tab w:val="center" w:pos="5208"/>
        </w:tabs>
        <w:spacing w:after="2" w:line="263" w:lineRule="auto"/>
        <w:ind w:left="-15"/>
      </w:pPr>
      <w:r>
        <w:rPr>
          <w:rFonts w:ascii="Cambria" w:eastAsia="Cambria" w:hAnsi="Cambria" w:cs="Cambria"/>
          <w:b/>
        </w:rPr>
        <w:t>PEDIATRIČNA</w:t>
      </w:r>
      <w:r>
        <w:rPr>
          <w:rFonts w:ascii="Cambria" w:eastAsia="Cambria" w:hAnsi="Cambria" w:cs="Cambria"/>
          <w:b/>
        </w:rPr>
        <w:tab/>
        <w:t>KLINIKA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DF18EA" w:rsidRDefault="008B1E30" w:rsidP="00F92878">
      <w:pPr>
        <w:spacing w:after="2" w:line="263" w:lineRule="auto"/>
        <w:ind w:left="-5" w:right="4470" w:hanging="10"/>
      </w:pPr>
      <w:r>
        <w:rPr>
          <w:rFonts w:ascii="Cambria" w:eastAsia="Cambria" w:hAnsi="Cambria" w:cs="Cambria"/>
          <w:b/>
        </w:rPr>
        <w:t>BOHORIČEVA</w:t>
      </w:r>
      <w:r>
        <w:rPr>
          <w:rFonts w:ascii="Cambria" w:eastAsia="Cambria" w:hAnsi="Cambria" w:cs="Cambria"/>
          <w:b/>
        </w:rPr>
        <w:tab/>
        <w:t>20,</w:t>
      </w:r>
      <w:r>
        <w:rPr>
          <w:rFonts w:ascii="Cambria" w:eastAsia="Cambria" w:hAnsi="Cambria" w:cs="Cambria"/>
          <w:b/>
        </w:rPr>
        <w:tab/>
        <w:t>LJUBLJANA</w:t>
      </w:r>
    </w:p>
    <w:p w:rsidR="00F92878" w:rsidRDefault="008B1E30" w:rsidP="00F92878">
      <w:pPr>
        <w:spacing w:after="2" w:line="263" w:lineRule="auto"/>
        <w:ind w:left="-5" w:right="2060" w:hanging="1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Telefon: 01 </w:t>
      </w:r>
      <w:r>
        <w:rPr>
          <w:rFonts w:ascii="Cambria" w:eastAsia="Cambria" w:hAnsi="Cambria" w:cs="Cambria"/>
          <w:b/>
        </w:rPr>
        <w:t xml:space="preserve">522 38 </w:t>
      </w:r>
      <w:r>
        <w:rPr>
          <w:rFonts w:ascii="Cambria" w:eastAsia="Cambria" w:hAnsi="Cambria" w:cs="Cambria"/>
          <w:b/>
        </w:rPr>
        <w:t>01</w:t>
      </w:r>
      <w:r>
        <w:rPr>
          <w:rFonts w:ascii="Arial" w:eastAsia="Arial" w:hAnsi="Arial" w:cs="Arial"/>
          <w:sz w:val="31"/>
          <w:vertAlign w:val="subscript"/>
        </w:rPr>
        <w:t xml:space="preserve"> </w:t>
      </w:r>
      <w:r>
        <w:rPr>
          <w:rFonts w:ascii="Cambria" w:eastAsia="Cambria" w:hAnsi="Cambria" w:cs="Cambria"/>
          <w:b/>
        </w:rPr>
        <w:tab/>
      </w:r>
    </w:p>
    <w:p w:rsidR="00F92878" w:rsidRDefault="008B1E30" w:rsidP="00F92878">
      <w:pPr>
        <w:spacing w:after="2" w:line="263" w:lineRule="auto"/>
        <w:ind w:left="-5" w:right="2060" w:hanging="1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FAKS:</w:t>
      </w:r>
      <w:r>
        <w:rPr>
          <w:rFonts w:ascii="Cambria" w:eastAsia="Cambria" w:hAnsi="Cambria" w:cs="Cambria"/>
          <w:b/>
        </w:rPr>
        <w:tab/>
        <w:t xml:space="preserve">01 522 </w:t>
      </w:r>
      <w:r>
        <w:rPr>
          <w:rFonts w:ascii="Cambria" w:eastAsia="Cambria" w:hAnsi="Cambria" w:cs="Cambria"/>
          <w:b/>
        </w:rPr>
        <w:t xml:space="preserve">93 </w:t>
      </w:r>
      <w:r>
        <w:rPr>
          <w:rFonts w:ascii="Cambria" w:eastAsia="Cambria" w:hAnsi="Cambria" w:cs="Cambria"/>
          <w:b/>
        </w:rPr>
        <w:t>57</w:t>
      </w:r>
      <w:r>
        <w:rPr>
          <w:rFonts w:ascii="Cambria" w:eastAsia="Cambria" w:hAnsi="Cambria" w:cs="Cambria"/>
          <w:b/>
        </w:rPr>
        <w:tab/>
      </w:r>
    </w:p>
    <w:p w:rsidR="00DF18EA" w:rsidRDefault="008B1E30" w:rsidP="00F92878">
      <w:pPr>
        <w:spacing w:after="2" w:line="263" w:lineRule="auto"/>
        <w:ind w:left="-5" w:right="2060" w:hanging="10"/>
      </w:pPr>
      <w:r>
        <w:rPr>
          <w:rFonts w:ascii="Cambria" w:eastAsia="Cambria" w:hAnsi="Cambria" w:cs="Cambria"/>
          <w:b/>
        </w:rPr>
        <w:t>e-mail:</w:t>
      </w:r>
      <w:r>
        <w:rPr>
          <w:rFonts w:ascii="Cambria" w:eastAsia="Cambria" w:hAnsi="Cambria" w:cs="Cambria"/>
          <w:b/>
        </w:rPr>
        <w:tab/>
        <w:t>alenka.lipovec@kclj.si</w:t>
      </w:r>
      <w:r>
        <w:rPr>
          <w:rFonts w:ascii="Cambria" w:eastAsia="Cambria" w:hAnsi="Cambria" w:cs="Cambria"/>
          <w:b/>
        </w:rPr>
        <w:tab/>
      </w:r>
    </w:p>
    <w:p w:rsidR="00DF18EA" w:rsidRDefault="008B1E30">
      <w:pPr>
        <w:spacing w:after="0"/>
      </w:pPr>
      <w:r>
        <w:rPr>
          <w:rFonts w:ascii="Cambria" w:eastAsia="Cambria" w:hAnsi="Cambria" w:cs="Cambria"/>
        </w:rPr>
        <w:t>Predsednica:</w:t>
      </w:r>
      <w:r>
        <w:rPr>
          <w:rFonts w:ascii="Cambria" w:eastAsia="Cambria" w:hAnsi="Cambria" w:cs="Cambria"/>
        </w:rPr>
        <w:tab/>
        <w:t>izred.</w:t>
      </w:r>
      <w:r>
        <w:rPr>
          <w:rFonts w:ascii="Cambria" w:eastAsia="Cambria" w:hAnsi="Cambria" w:cs="Cambria"/>
        </w:rPr>
        <w:tab/>
        <w:t>prof.</w:t>
      </w:r>
      <w:r>
        <w:rPr>
          <w:rFonts w:ascii="Cambria" w:eastAsia="Cambria" w:hAnsi="Cambria" w:cs="Cambria"/>
        </w:rPr>
        <w:tab/>
        <w:t>dr.</w:t>
      </w:r>
      <w:r>
        <w:rPr>
          <w:rFonts w:ascii="Cambria" w:eastAsia="Cambria" w:hAnsi="Cambria" w:cs="Cambria"/>
        </w:rPr>
        <w:tab/>
        <w:t>Nataša</w:t>
      </w:r>
      <w:r>
        <w:rPr>
          <w:rFonts w:ascii="Cambria" w:eastAsia="Cambria" w:hAnsi="Cambria" w:cs="Cambria"/>
        </w:rPr>
        <w:tab/>
        <w:t>Bratina,</w:t>
      </w:r>
      <w:r>
        <w:t xml:space="preserve"> dr. med. </w:t>
      </w:r>
    </w:p>
    <w:p w:rsidR="00DF18EA" w:rsidRDefault="008B1E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F18EA" w:rsidRDefault="008B1E30">
      <w:pPr>
        <w:spacing w:after="33"/>
        <w:ind w:left="-8"/>
      </w:pPr>
      <w:r>
        <w:rPr>
          <w:noProof/>
        </w:rPr>
        <mc:AlternateContent>
          <mc:Choice Requires="wpg">
            <w:drawing>
              <wp:inline distT="0" distB="0" distL="0" distR="0">
                <wp:extent cx="3568700" cy="6096"/>
                <wp:effectExtent l="0" t="0" r="0" b="0"/>
                <wp:docPr id="28411" name="Group 28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0" cy="6096"/>
                          <a:chOff x="0" y="0"/>
                          <a:chExt cx="3568700" cy="6096"/>
                        </a:xfrm>
                      </wpg:grpSpPr>
                      <wps:wsp>
                        <wps:cNvPr id="30780" name="Shape 30780"/>
                        <wps:cNvSpPr/>
                        <wps:spPr>
                          <a:xfrm>
                            <a:off x="0" y="0"/>
                            <a:ext cx="3568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00" h="9144">
                                <a:moveTo>
                                  <a:pt x="0" y="0"/>
                                </a:moveTo>
                                <a:lnTo>
                                  <a:pt x="3568700" y="0"/>
                                </a:lnTo>
                                <a:lnTo>
                                  <a:pt x="3568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11" style="width:281pt;height:0.47998pt;mso-position-horizontal-relative:char;mso-position-vertical-relative:line" coordsize="35687,60">
                <v:shape id="Shape 30781" style="position:absolute;width:35687;height:91;left:0;top:0;" coordsize="3568700,9144" path="m0,0l3568700,0l35687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F18EA" w:rsidRDefault="008B1E30">
      <w:pPr>
        <w:spacing w:after="515"/>
        <w:ind w:right="8525"/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8559" w:type="dxa"/>
        <w:tblInd w:w="9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19"/>
      </w:tblGrid>
      <w:tr w:rsidR="00DF18EA">
        <w:trPr>
          <w:trHeight w:val="26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18EA" w:rsidRDefault="008B1E30">
            <w:pPr>
              <w:spacing w:after="0"/>
            </w:pPr>
            <w:r>
              <w:rPr>
                <w:rFonts w:ascii="Arial" w:eastAsia="Arial" w:hAnsi="Arial" w:cs="Arial"/>
              </w:rPr>
              <w:t xml:space="preserve">Številka:  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DF18EA" w:rsidRDefault="008B1E30">
            <w:pPr>
              <w:spacing w:after="0"/>
              <w:ind w:left="261"/>
            </w:pPr>
            <w:r>
              <w:rPr>
                <w:rFonts w:ascii="Arial" w:eastAsia="Arial" w:hAnsi="Arial" w:cs="Arial"/>
              </w:rPr>
              <w:t xml:space="preserve">10. korespondenčna seja 2020 </w:t>
            </w:r>
          </w:p>
        </w:tc>
      </w:tr>
      <w:tr w:rsidR="00DF18EA">
        <w:trPr>
          <w:trHeight w:val="58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18EA" w:rsidRDefault="008B1E3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Datum:  </w:t>
            </w:r>
          </w:p>
          <w:p w:rsidR="00DF18EA" w:rsidRDefault="008B1E3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DF18EA" w:rsidRDefault="008B1E30">
            <w:pPr>
              <w:spacing w:after="0"/>
              <w:ind w:left="261"/>
            </w:pPr>
            <w:r>
              <w:rPr>
                <w:rFonts w:ascii="Arial" w:eastAsia="Arial" w:hAnsi="Arial" w:cs="Arial"/>
              </w:rPr>
              <w:t xml:space="preserve">20. maj 2020, ob 13h </w:t>
            </w:r>
          </w:p>
        </w:tc>
      </w:tr>
      <w:tr w:rsidR="00DF18EA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18EA" w:rsidRDefault="008B1E3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Zadeva:  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DF18EA" w:rsidRDefault="008B1E30">
            <w:pPr>
              <w:spacing w:after="0"/>
              <w:ind w:left="261"/>
            </w:pPr>
            <w:r>
              <w:rPr>
                <w:rFonts w:ascii="Arial" w:eastAsia="Arial" w:hAnsi="Arial" w:cs="Arial"/>
                <w:b/>
              </w:rPr>
              <w:t>10</w:t>
            </w:r>
            <w:r>
              <w:rPr>
                <w:rFonts w:ascii="Arial" w:eastAsia="Arial" w:hAnsi="Arial" w:cs="Arial"/>
                <w:b/>
              </w:rPr>
              <w:t xml:space="preserve">. korespondenčna seja v letu 2020 </w:t>
            </w:r>
          </w:p>
        </w:tc>
      </w:tr>
      <w:tr w:rsidR="00DF18EA">
        <w:trPr>
          <w:trHeight w:val="5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18EA" w:rsidRDefault="008B1E30">
            <w:pPr>
              <w:spacing w:after="0"/>
            </w:pPr>
            <w:r>
              <w:rPr>
                <w:rFonts w:ascii="Arial" w:eastAsia="Arial" w:hAnsi="Arial" w:cs="Arial"/>
              </w:rPr>
              <w:t xml:space="preserve">Zveza:  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DF18EA" w:rsidRDefault="008B1E30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>Dodatna opredelitev zdravstvenih omejitev za otroke in dijake v času zaključka  epidemije SARS – 2 – CoV (obisk vrtcev, šole)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F18EA" w:rsidRDefault="008B1E30">
      <w:pPr>
        <w:spacing w:after="19"/>
        <w:ind w:left="96"/>
      </w:pPr>
      <w:r>
        <w:rPr>
          <w:rFonts w:ascii="Arial" w:eastAsia="Arial" w:hAnsi="Arial" w:cs="Arial"/>
          <w:b/>
        </w:rPr>
        <w:t xml:space="preserve"> </w:t>
      </w:r>
    </w:p>
    <w:p w:rsidR="00DF18EA" w:rsidRDefault="008B1E30">
      <w:pPr>
        <w:spacing w:after="19"/>
        <w:ind w:left="96"/>
      </w:pPr>
      <w:r>
        <w:rPr>
          <w:rFonts w:ascii="Arial" w:eastAsia="Arial" w:hAnsi="Arial" w:cs="Arial"/>
        </w:rPr>
        <w:t xml:space="preserve">  </w:t>
      </w:r>
    </w:p>
    <w:p w:rsidR="00DF18EA" w:rsidRDefault="008B1E30">
      <w:pPr>
        <w:spacing w:after="2" w:line="274" w:lineRule="auto"/>
        <w:ind w:left="91" w:hanging="10"/>
      </w:pPr>
      <w:r>
        <w:rPr>
          <w:rFonts w:ascii="Arial" w:eastAsia="Arial" w:hAnsi="Arial" w:cs="Arial"/>
          <w:b/>
        </w:rPr>
        <w:t xml:space="preserve">Na RSK za pediatrijo smo prejeli vlogo </w:t>
      </w:r>
      <w:r>
        <w:rPr>
          <w:rFonts w:ascii="Arial" w:eastAsia="Arial" w:hAnsi="Arial" w:cs="Arial"/>
          <w:b/>
        </w:rPr>
        <w:t xml:space="preserve">Pediatrične klinike glede dopolnitve razlage in vključitve kronično bolnih otrok v proces vzgoje in izobraževanja </w:t>
      </w:r>
    </w:p>
    <w:p w:rsidR="00DF18EA" w:rsidRDefault="008B1E30">
      <w:pPr>
        <w:spacing w:after="19"/>
        <w:ind w:left="96"/>
      </w:pPr>
      <w:r>
        <w:rPr>
          <w:rFonts w:ascii="Arial" w:eastAsia="Arial" w:hAnsi="Arial" w:cs="Arial"/>
          <w:b/>
        </w:rPr>
        <w:t xml:space="preserve"> </w:t>
      </w:r>
    </w:p>
    <w:p w:rsidR="00DF18EA" w:rsidRDefault="008B1E30">
      <w:pPr>
        <w:spacing w:after="8" w:line="268" w:lineRule="auto"/>
        <w:ind w:left="91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6643</wp:posOffset>
            </wp:positionH>
            <wp:positionV relativeFrom="page">
              <wp:posOffset>17436</wp:posOffset>
            </wp:positionV>
            <wp:extent cx="3176270" cy="1146810"/>
            <wp:effectExtent l="0" t="0" r="0" b="0"/>
            <wp:wrapTopAndBottom/>
            <wp:docPr id="2714" name="Picture 2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" name="Picture 27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Ob ponovnem odprtju vrtcev in šol z določenimi omejitvami se je nemudoma pojavilo vprašanje, ali je varno, da se v proces izobraževanja vr</w:t>
      </w:r>
      <w:r>
        <w:rPr>
          <w:rFonts w:ascii="Arial" w:eastAsia="Arial" w:hAnsi="Arial" w:cs="Arial"/>
        </w:rPr>
        <w:t xml:space="preserve">nejo vsi otroci, ali pa obstajajo skupine otrok, ki so posebej ogrožene v primeru okužbe s SARS-CoV-2 virusom in je zato smiselno, da zaradi zdravstvenih razlogov nadaljujejo izobraževanje na daljavo in se njihova vključitev v vrtce in šole zadrži, dokler </w:t>
      </w:r>
      <w:r>
        <w:rPr>
          <w:rFonts w:ascii="Arial" w:eastAsia="Arial" w:hAnsi="Arial" w:cs="Arial"/>
        </w:rPr>
        <w:t xml:space="preserve">nimamo večjega števila zanesljivih strokovnih podatkov glede na relevantne objave v medicinski literaturi. </w:t>
      </w:r>
    </w:p>
    <w:p w:rsidR="00DF18EA" w:rsidRDefault="008B1E30">
      <w:pPr>
        <w:spacing w:after="19"/>
        <w:ind w:left="96"/>
      </w:pP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8" w:line="268" w:lineRule="auto"/>
        <w:ind w:left="91" w:hanging="10"/>
      </w:pPr>
      <w:r>
        <w:rPr>
          <w:rFonts w:ascii="Arial" w:eastAsia="Arial" w:hAnsi="Arial" w:cs="Arial"/>
        </w:rPr>
        <w:t>Otrokom vsekakor ne smemo kratiti pravice do vzgoje in izobraževanja po nepotrebnem, zato je potrebno ob trenutno zelo ugodni epidemiološki situaciji v Sloveniji dobro premisliti komu bomo omejili dostop do ponovnega vključevanja v vzgojno-izobraževalne pr</w:t>
      </w:r>
      <w:r>
        <w:rPr>
          <w:rFonts w:ascii="Arial" w:eastAsia="Arial" w:hAnsi="Arial" w:cs="Arial"/>
        </w:rPr>
        <w:t>ocese. Ni smiselno, da vsem otrokom z določeno diagnozo prepovemo izobraževanje, kajti tudi otroci znotraj posamezne bolezni so v različnih fazah zdravljenja, se različno odzovejo na zdravljenje, skratka je njihova imunost različno okvarjena. S tem, kakšno</w:t>
      </w:r>
      <w:r>
        <w:rPr>
          <w:rFonts w:ascii="Arial" w:eastAsia="Arial" w:hAnsi="Arial" w:cs="Arial"/>
        </w:rPr>
        <w:t xml:space="preserve"> bolezen ima otrok in kakšen je njen potek, sta najbolj seznanjena osebni pediater in lečeči pediater subspecialist. </w:t>
      </w:r>
    </w:p>
    <w:p w:rsidR="00DF18EA" w:rsidRDefault="008B1E30">
      <w:pPr>
        <w:spacing w:after="14"/>
        <w:ind w:left="96"/>
      </w:pP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2" w:line="274" w:lineRule="auto"/>
        <w:ind w:left="91" w:hanging="10"/>
      </w:pPr>
      <w:r>
        <w:rPr>
          <w:rFonts w:ascii="Arial" w:eastAsia="Arial" w:hAnsi="Arial" w:cs="Arial"/>
          <w:b/>
        </w:rPr>
        <w:t xml:space="preserve">Zato je najbolj smiselno, da imajo kronično bolni otroci s potencialno večjim tveganjem za težji potek COVID-19 opravljeno pred vstopom </w:t>
      </w:r>
      <w:r>
        <w:rPr>
          <w:rFonts w:ascii="Arial" w:eastAsia="Arial" w:hAnsi="Arial" w:cs="Arial"/>
          <w:b/>
        </w:rPr>
        <w:t>v šolo individualno oceno tveganja. Oceno opravi izbrani pediater po posvetu z lečečim subspecialiston in družino. Vsekakor pa bo otrok, ki so posebej ogroženi, in bodo potrebovali ustrezno mnenje, da ne bodo šli v vrtec ali šolo, malo.</w:t>
      </w: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25"/>
        <w:ind w:left="96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DF18EA" w:rsidRDefault="008B1E30">
      <w:pPr>
        <w:spacing w:after="8" w:line="268" w:lineRule="auto"/>
        <w:ind w:left="91" w:hanging="10"/>
      </w:pPr>
      <w:bookmarkStart w:id="0" w:name="_GoBack"/>
      <w:bookmarkEnd w:id="0"/>
      <w:r>
        <w:rPr>
          <w:rFonts w:ascii="Arial" w:eastAsia="Arial" w:hAnsi="Arial" w:cs="Arial"/>
        </w:rPr>
        <w:t xml:space="preserve">Revidiran </w:t>
      </w:r>
      <w:r>
        <w:rPr>
          <w:rFonts w:ascii="Arial" w:eastAsia="Arial" w:hAnsi="Arial" w:cs="Arial"/>
        </w:rPr>
        <w:t xml:space="preserve">seznam kronično bolnih otrok, ki so bolj ogroženi zaradi okužbe z virusom SARS-CoV-2:  </w:t>
      </w:r>
    </w:p>
    <w:p w:rsidR="00DF18EA" w:rsidRDefault="008B1E30">
      <w:pPr>
        <w:spacing w:after="16"/>
        <w:ind w:left="91" w:hanging="10"/>
      </w:pPr>
      <w:r>
        <w:rPr>
          <w:rFonts w:ascii="Arial" w:eastAsia="Arial" w:hAnsi="Arial" w:cs="Arial"/>
          <w:b/>
          <w:u w:val="single" w:color="000000"/>
        </w:rPr>
        <w:lastRenderedPageBreak/>
        <w:t>1. Za področje nevrologije:</w:t>
      </w:r>
      <w:r>
        <w:rPr>
          <w:rFonts w:ascii="Arial" w:eastAsia="Arial" w:hAnsi="Arial" w:cs="Arial"/>
          <w:b/>
        </w:rPr>
        <w:t xml:space="preserve"> </w:t>
      </w:r>
    </w:p>
    <w:p w:rsidR="00DF18EA" w:rsidRDefault="008B1E30">
      <w:pPr>
        <w:spacing w:after="8" w:line="268" w:lineRule="auto"/>
        <w:ind w:left="91" w:right="484" w:hanging="10"/>
      </w:pPr>
      <w:r>
        <w:rPr>
          <w:rFonts w:ascii="Arial" w:eastAsia="Arial" w:hAnsi="Arial" w:cs="Arial"/>
        </w:rPr>
        <w:t>• Otroci, ki zaradi nevrološke bolezni (npr. epilepsija, ADEM, itd.) prejemajo visoke odmerke steroidov (odmerek višji od 0.5 mg na kg TT/d</w:t>
      </w:r>
      <w:r>
        <w:rPr>
          <w:rFonts w:ascii="Arial" w:eastAsia="Arial" w:hAnsi="Arial" w:cs="Arial"/>
        </w:rPr>
        <w:t xml:space="preserve">an) več kot 14 dni • Otroci, ki zaradi nevrološke bolezni (npr. multipla skleroza, itd.) prejemajo imunomodulatorno terapijo </w:t>
      </w:r>
    </w:p>
    <w:p w:rsidR="00DF18EA" w:rsidRDefault="008B1E30">
      <w:pPr>
        <w:spacing w:after="19"/>
        <w:ind w:left="96"/>
      </w:pP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16"/>
        <w:ind w:left="91" w:hanging="10"/>
      </w:pPr>
      <w:r>
        <w:rPr>
          <w:rFonts w:ascii="Arial" w:eastAsia="Arial" w:hAnsi="Arial" w:cs="Arial"/>
          <w:b/>
          <w:u w:val="single" w:color="000000"/>
        </w:rPr>
        <w:t>2. Za področje gastroenterologije in hepatologije:</w:t>
      </w:r>
      <w:r>
        <w:rPr>
          <w:rFonts w:ascii="Arial" w:eastAsia="Arial" w:hAnsi="Arial" w:cs="Arial"/>
          <w:b/>
        </w:rPr>
        <w:t xml:space="preserve"> </w:t>
      </w:r>
    </w:p>
    <w:p w:rsidR="00DF18EA" w:rsidRDefault="008B1E30">
      <w:pPr>
        <w:numPr>
          <w:ilvl w:val="0"/>
          <w:numId w:val="14"/>
        </w:numPr>
        <w:spacing w:after="8" w:line="268" w:lineRule="auto"/>
        <w:ind w:hanging="10"/>
      </w:pPr>
      <w:r>
        <w:rPr>
          <w:rFonts w:ascii="Arial" w:eastAsia="Arial" w:hAnsi="Arial" w:cs="Arial"/>
        </w:rPr>
        <w:t>Otroci in mladostniki, ki prejemajo terapijo z visokimi odmerki sistemskih k</w:t>
      </w:r>
      <w:r>
        <w:rPr>
          <w:rFonts w:ascii="Arial" w:eastAsia="Arial" w:hAnsi="Arial" w:cs="Arial"/>
        </w:rPr>
        <w:t xml:space="preserve">ortikosteroidov (odmerek višji od 0.5 mg na kg TT/dan) več kot 14 dni, ne pa tisti, ki prejemajo lokalno delujoče kortikosteroide (npr. Budezonid) </w:t>
      </w:r>
    </w:p>
    <w:p w:rsidR="00DF18EA" w:rsidRDefault="008B1E30">
      <w:pPr>
        <w:numPr>
          <w:ilvl w:val="0"/>
          <w:numId w:val="14"/>
        </w:numPr>
        <w:spacing w:after="8" w:line="268" w:lineRule="auto"/>
        <w:ind w:hanging="10"/>
      </w:pPr>
      <w:r>
        <w:rPr>
          <w:rFonts w:ascii="Arial" w:eastAsia="Arial" w:hAnsi="Arial" w:cs="Arial"/>
        </w:rPr>
        <w:t>Otroci in mladostniki, ki prejemajo večtirno imunosupresivno zdravljenje (pri čemer aminosalicilati ne šteje</w:t>
      </w:r>
      <w:r>
        <w:rPr>
          <w:rFonts w:ascii="Arial" w:eastAsia="Arial" w:hAnsi="Arial" w:cs="Arial"/>
        </w:rPr>
        <w:t xml:space="preserve">jo) </w:t>
      </w:r>
    </w:p>
    <w:p w:rsidR="00DF18EA" w:rsidRDefault="008B1E30">
      <w:pPr>
        <w:numPr>
          <w:ilvl w:val="0"/>
          <w:numId w:val="14"/>
        </w:numPr>
        <w:spacing w:after="8" w:line="268" w:lineRule="auto"/>
        <w:ind w:hanging="10"/>
      </w:pPr>
      <w:r>
        <w:rPr>
          <w:rFonts w:ascii="Arial" w:eastAsia="Arial" w:hAnsi="Arial" w:cs="Arial"/>
        </w:rPr>
        <w:t xml:space="preserve">Otroci in mladostniki, ki prejemajo hkrati biološko zdravilo in imunosupresivno zdravljenje </w:t>
      </w:r>
    </w:p>
    <w:p w:rsidR="00DF18EA" w:rsidRDefault="008B1E30">
      <w:pPr>
        <w:numPr>
          <w:ilvl w:val="0"/>
          <w:numId w:val="14"/>
        </w:numPr>
        <w:spacing w:after="8" w:line="268" w:lineRule="auto"/>
        <w:ind w:hanging="10"/>
      </w:pPr>
      <w:r>
        <w:rPr>
          <w:rFonts w:ascii="Arial" w:eastAsia="Arial" w:hAnsi="Arial" w:cs="Arial"/>
        </w:rPr>
        <w:t>Otroci in mladostniki po presaditvi jeter, če je minilo od presaditve jeter manj kot leto dni, ali potrebujejo intenzivnejše imunosupresivno terapijo kot je m</w:t>
      </w:r>
      <w:r>
        <w:rPr>
          <w:rFonts w:ascii="Arial" w:eastAsia="Arial" w:hAnsi="Arial" w:cs="Arial"/>
        </w:rPr>
        <w:t xml:space="preserve">onoterapija z takrolimusom </w:t>
      </w:r>
    </w:p>
    <w:p w:rsidR="00DF18EA" w:rsidRDefault="008B1E30">
      <w:pPr>
        <w:spacing w:after="14"/>
        <w:ind w:left="96"/>
      </w:pP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16"/>
        <w:ind w:left="91" w:hanging="10"/>
      </w:pPr>
      <w:r>
        <w:rPr>
          <w:rFonts w:ascii="Arial" w:eastAsia="Arial" w:hAnsi="Arial" w:cs="Arial"/>
          <w:b/>
          <w:u w:val="single" w:color="000000"/>
        </w:rPr>
        <w:t>3. Za področje nefrologije:</w:t>
      </w:r>
      <w:r>
        <w:rPr>
          <w:rFonts w:ascii="Arial" w:eastAsia="Arial" w:hAnsi="Arial" w:cs="Arial"/>
          <w:b/>
        </w:rPr>
        <w:t xml:space="preserve"> </w:t>
      </w:r>
    </w:p>
    <w:p w:rsidR="00DF18EA" w:rsidRDefault="008B1E30">
      <w:pPr>
        <w:numPr>
          <w:ilvl w:val="0"/>
          <w:numId w:val="15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KLB GR IV in več </w:t>
      </w:r>
    </w:p>
    <w:p w:rsidR="00DF18EA" w:rsidRDefault="008B1E30">
      <w:pPr>
        <w:numPr>
          <w:ilvl w:val="0"/>
          <w:numId w:val="15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Bolniki na hemodializi </w:t>
      </w:r>
    </w:p>
    <w:p w:rsidR="00DF18EA" w:rsidRDefault="008B1E30">
      <w:pPr>
        <w:numPr>
          <w:ilvl w:val="0"/>
          <w:numId w:val="15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Bolniki na peritonealni dializi </w:t>
      </w:r>
    </w:p>
    <w:p w:rsidR="00DF18EA" w:rsidRDefault="008B1E30">
      <w:pPr>
        <w:numPr>
          <w:ilvl w:val="0"/>
          <w:numId w:val="15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Transplantirani bolniki </w:t>
      </w:r>
    </w:p>
    <w:p w:rsidR="00DF18EA" w:rsidRDefault="008B1E30">
      <w:pPr>
        <w:numPr>
          <w:ilvl w:val="0"/>
          <w:numId w:val="15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Bolniki z nefrotskim/nefritičnim sindromom, ki so zdravljeni s kortikosteroidi ali drugimi </w:t>
      </w:r>
      <w:r>
        <w:rPr>
          <w:rFonts w:ascii="Arial" w:eastAsia="Arial" w:hAnsi="Arial" w:cs="Arial"/>
        </w:rPr>
        <w:t xml:space="preserve">imunosupresivi </w:t>
      </w:r>
    </w:p>
    <w:p w:rsidR="00DF18EA" w:rsidRDefault="008B1E30">
      <w:pPr>
        <w:numPr>
          <w:ilvl w:val="0"/>
          <w:numId w:val="15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Bolniki z nefrotskim sindromov/nefritičnim sindromom, ki ni odziven na terapijo, tudi če niso na imunosupresivni terapiji </w:t>
      </w:r>
    </w:p>
    <w:p w:rsidR="00DF18EA" w:rsidRDefault="008B1E30">
      <w:pPr>
        <w:numPr>
          <w:ilvl w:val="0"/>
          <w:numId w:val="15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Bolniki s HUS na vzdrževalnem zdravljenju z eculizumabom </w:t>
      </w:r>
    </w:p>
    <w:p w:rsidR="00DF18EA" w:rsidRDefault="008B1E30">
      <w:pPr>
        <w:numPr>
          <w:ilvl w:val="0"/>
          <w:numId w:val="15"/>
        </w:numPr>
        <w:spacing w:after="8" w:line="268" w:lineRule="auto"/>
        <w:ind w:hanging="138"/>
      </w:pPr>
      <w:r>
        <w:rPr>
          <w:rFonts w:ascii="Arial" w:eastAsia="Arial" w:hAnsi="Arial" w:cs="Arial"/>
        </w:rPr>
        <w:t>Bolniki, ki imajo zaradi zdravljenja z Rituximabom zavoro C</w:t>
      </w:r>
      <w:r>
        <w:rPr>
          <w:rFonts w:ascii="Arial" w:eastAsia="Arial" w:hAnsi="Arial" w:cs="Arial"/>
        </w:rPr>
        <w:t xml:space="preserve">D19 celic </w:t>
      </w:r>
    </w:p>
    <w:p w:rsidR="00DF18EA" w:rsidRDefault="008B1E30">
      <w:pPr>
        <w:spacing w:after="19"/>
        <w:ind w:left="96"/>
      </w:pP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16"/>
        <w:ind w:left="91" w:hanging="10"/>
      </w:pPr>
      <w:r>
        <w:rPr>
          <w:rFonts w:ascii="Arial" w:eastAsia="Arial" w:hAnsi="Arial" w:cs="Arial"/>
          <w:b/>
          <w:u w:val="single" w:color="000000"/>
        </w:rPr>
        <w:t>4. Za področje pulmologije:</w:t>
      </w:r>
      <w:r>
        <w:rPr>
          <w:rFonts w:ascii="Arial" w:eastAsia="Arial" w:hAnsi="Arial" w:cs="Arial"/>
          <w:b/>
        </w:rPr>
        <w:t xml:space="preserve"> </w:t>
      </w:r>
    </w:p>
    <w:p w:rsidR="00DF18EA" w:rsidRDefault="008B1E30">
      <w:pPr>
        <w:numPr>
          <w:ilvl w:val="0"/>
          <w:numId w:val="16"/>
        </w:numPr>
        <w:spacing w:after="8" w:line="268" w:lineRule="auto"/>
        <w:ind w:hanging="10"/>
      </w:pPr>
      <w:r>
        <w:rPr>
          <w:rFonts w:ascii="Arial" w:eastAsia="Arial" w:hAnsi="Arial" w:cs="Arial"/>
        </w:rPr>
        <w:t xml:space="preserve">Bolniki s težko astmo (na redni terapiji s sistemskimi glukokortikoidi ali biološkimi zdravili) </w:t>
      </w:r>
    </w:p>
    <w:p w:rsidR="00DF18EA" w:rsidRDefault="008B1E30">
      <w:pPr>
        <w:numPr>
          <w:ilvl w:val="0"/>
          <w:numId w:val="16"/>
        </w:numPr>
        <w:spacing w:after="8" w:line="268" w:lineRule="auto"/>
        <w:ind w:hanging="10"/>
      </w:pPr>
      <w:r>
        <w:rPr>
          <w:rFonts w:ascii="Arial" w:eastAsia="Arial" w:hAnsi="Arial" w:cs="Arial"/>
        </w:rPr>
        <w:t xml:space="preserve">Bolniki s potrebo po zdravljenju z dodatnim kisikom v vdihanem zraku na domu (visok ali nizek pretok) </w:t>
      </w:r>
    </w:p>
    <w:p w:rsidR="00DF18EA" w:rsidRDefault="008B1E30">
      <w:pPr>
        <w:numPr>
          <w:ilvl w:val="0"/>
          <w:numId w:val="16"/>
        </w:numPr>
        <w:spacing w:after="8" w:line="268" w:lineRule="auto"/>
        <w:ind w:hanging="10"/>
      </w:pPr>
      <w:r>
        <w:rPr>
          <w:rFonts w:ascii="Arial" w:eastAsia="Arial" w:hAnsi="Arial" w:cs="Arial"/>
        </w:rPr>
        <w:t>Bolniki s potr</w:t>
      </w:r>
      <w:r>
        <w:rPr>
          <w:rFonts w:ascii="Arial" w:eastAsia="Arial" w:hAnsi="Arial" w:cs="Arial"/>
        </w:rPr>
        <w:t xml:space="preserve">ebo po zdravljenju z umetno ventilatorno podporo na domu (CPAP, neinvazivna ali invazivna ventilacija)   </w:t>
      </w:r>
    </w:p>
    <w:p w:rsidR="00DF18EA" w:rsidRDefault="008B1E30">
      <w:pPr>
        <w:spacing w:after="19"/>
        <w:ind w:left="96"/>
      </w:pP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16"/>
        <w:ind w:left="91" w:hanging="10"/>
      </w:pPr>
      <w:r>
        <w:rPr>
          <w:rFonts w:ascii="Arial" w:eastAsia="Arial" w:hAnsi="Arial" w:cs="Arial"/>
          <w:b/>
          <w:u w:val="single" w:color="000000"/>
        </w:rPr>
        <w:t>5. Za področje revmatologije/imunologije:</w:t>
      </w:r>
      <w:r>
        <w:rPr>
          <w:rFonts w:ascii="Arial" w:eastAsia="Arial" w:hAnsi="Arial" w:cs="Arial"/>
          <w:b/>
        </w:rPr>
        <w:t xml:space="preserve"> </w:t>
      </w:r>
    </w:p>
    <w:p w:rsidR="00DF18EA" w:rsidRDefault="008B1E30">
      <w:pPr>
        <w:numPr>
          <w:ilvl w:val="0"/>
          <w:numId w:val="17"/>
        </w:numPr>
        <w:spacing w:after="8" w:line="268" w:lineRule="auto"/>
        <w:ind w:right="268" w:hanging="138"/>
      </w:pPr>
      <w:r>
        <w:rPr>
          <w:rFonts w:ascii="Arial" w:eastAsia="Arial" w:hAnsi="Arial" w:cs="Arial"/>
        </w:rPr>
        <w:t xml:space="preserve">Bolniki s težko primarno imunsko pomanjkljivostjo </w:t>
      </w:r>
    </w:p>
    <w:p w:rsidR="00DF18EA" w:rsidRDefault="008B1E30">
      <w:pPr>
        <w:numPr>
          <w:ilvl w:val="0"/>
          <w:numId w:val="17"/>
        </w:numPr>
        <w:spacing w:after="8" w:line="268" w:lineRule="auto"/>
        <w:ind w:right="268" w:hanging="138"/>
      </w:pPr>
      <w:r>
        <w:rPr>
          <w:rFonts w:ascii="Arial" w:eastAsia="Arial" w:hAnsi="Arial" w:cs="Arial"/>
        </w:rPr>
        <w:t>Otroci in mladostniki, ki prejemajo terapijo z visokim</w:t>
      </w:r>
      <w:r>
        <w:rPr>
          <w:rFonts w:ascii="Arial" w:eastAsia="Arial" w:hAnsi="Arial" w:cs="Arial"/>
        </w:rPr>
        <w:t>i odmerki kortikosteroidov (odmerek višji od 0.5 mg na kg TT/dan) več kot 14 dni • Otroci, ki prejemajo visoke odmerke konvencionalnih imunosupresijskih zdravil (npr. MMF, ciklofosfamid, takrolimus), večtirno imunosupresijsko zdravljenje ali kombinacijo im</w:t>
      </w:r>
      <w:r>
        <w:rPr>
          <w:rFonts w:ascii="Arial" w:eastAsia="Arial" w:hAnsi="Arial" w:cs="Arial"/>
        </w:rPr>
        <w:t xml:space="preserve">unosupresijske in biološke terapije </w:t>
      </w:r>
    </w:p>
    <w:p w:rsidR="00DF18EA" w:rsidRDefault="008B1E30">
      <w:pPr>
        <w:numPr>
          <w:ilvl w:val="0"/>
          <w:numId w:val="17"/>
        </w:numPr>
        <w:spacing w:after="8" w:line="268" w:lineRule="auto"/>
        <w:ind w:right="268" w:hanging="138"/>
      </w:pPr>
      <w:r>
        <w:rPr>
          <w:rFonts w:ascii="Arial" w:eastAsia="Arial" w:hAnsi="Arial" w:cs="Arial"/>
        </w:rPr>
        <w:t xml:space="preserve">Otroci in mladostniki, ki prejemajo biološko terapijo usmerjeno proti T ali B celicam (npr. abatacept, rituximab), ali biološko terapijo usmerjeno proti delovanju komplementa (npr. ekulizumab) </w:t>
      </w:r>
    </w:p>
    <w:p w:rsidR="00DF18EA" w:rsidRDefault="008B1E30">
      <w:pPr>
        <w:numPr>
          <w:ilvl w:val="0"/>
          <w:numId w:val="17"/>
        </w:numPr>
        <w:spacing w:after="8" w:line="268" w:lineRule="auto"/>
        <w:ind w:right="268" w:hanging="138"/>
      </w:pPr>
      <w:r>
        <w:rPr>
          <w:rFonts w:ascii="Arial" w:eastAsia="Arial" w:hAnsi="Arial" w:cs="Arial"/>
        </w:rPr>
        <w:lastRenderedPageBreak/>
        <w:t xml:space="preserve">Otroci in mladostniki po </w:t>
      </w:r>
      <w:r>
        <w:rPr>
          <w:rFonts w:ascii="Arial" w:eastAsia="Arial" w:hAnsi="Arial" w:cs="Arial"/>
        </w:rPr>
        <w:t xml:space="preserve">transplantaciji krvotvornih matičnih celic, ki </w:t>
      </w:r>
    </w:p>
    <w:p w:rsidR="00DF18EA" w:rsidRDefault="008B1E30">
      <w:pPr>
        <w:spacing w:after="8" w:line="268" w:lineRule="auto"/>
        <w:ind w:left="91" w:right="194" w:hanging="10"/>
      </w:pPr>
      <w:r>
        <w:rPr>
          <w:rFonts w:ascii="Arial" w:eastAsia="Arial" w:hAnsi="Arial" w:cs="Arial"/>
        </w:rPr>
        <w:t xml:space="preserve">prejemajo imunosupresijsko terapijo in otroci po transplantaciji krvotvornih matičnih celic brez imunosupresijske terapije pri katerih je od transplantacije manj kot leto dni </w:t>
      </w:r>
    </w:p>
    <w:p w:rsidR="00DF18EA" w:rsidRDefault="008B1E30">
      <w:pPr>
        <w:spacing w:after="14"/>
        <w:ind w:left="96"/>
      </w:pP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16"/>
        <w:ind w:left="91" w:hanging="10"/>
      </w:pPr>
      <w:r>
        <w:rPr>
          <w:rFonts w:ascii="Arial" w:eastAsia="Arial" w:hAnsi="Arial" w:cs="Arial"/>
          <w:b/>
          <w:u w:val="single" w:color="000000"/>
        </w:rPr>
        <w:t>6. Za področje hemato-</w:t>
      </w:r>
      <w:r>
        <w:rPr>
          <w:rFonts w:ascii="Arial" w:eastAsia="Arial" w:hAnsi="Arial" w:cs="Arial"/>
          <w:b/>
          <w:u w:val="single" w:color="000000"/>
        </w:rPr>
        <w:t>onkologije:</w:t>
      </w:r>
      <w:r>
        <w:rPr>
          <w:rFonts w:ascii="Arial" w:eastAsia="Arial" w:hAnsi="Arial" w:cs="Arial"/>
          <w:b/>
        </w:rPr>
        <w:t xml:space="preserve"> </w:t>
      </w:r>
    </w:p>
    <w:p w:rsidR="00DF18EA" w:rsidRDefault="008B1E30">
      <w:pPr>
        <w:numPr>
          <w:ilvl w:val="0"/>
          <w:numId w:val="18"/>
        </w:numPr>
        <w:spacing w:after="8" w:line="268" w:lineRule="auto"/>
        <w:ind w:right="70" w:hanging="10"/>
      </w:pPr>
      <w:r>
        <w:rPr>
          <w:rFonts w:ascii="Arial" w:eastAsia="Arial" w:hAnsi="Arial" w:cs="Arial"/>
        </w:rPr>
        <w:t xml:space="preserve">Otroci/mladostniki z maligno boleznijo na kemoterapevtskem zdravljenju / obsevalnem zdravljenju ali manj kot pol leta po intenzivnem kemoterapevtskem zdravljenju </w:t>
      </w:r>
    </w:p>
    <w:p w:rsidR="00DF18EA" w:rsidRDefault="008B1E30">
      <w:pPr>
        <w:numPr>
          <w:ilvl w:val="0"/>
          <w:numId w:val="18"/>
        </w:numPr>
        <w:spacing w:after="8" w:line="268" w:lineRule="auto"/>
        <w:ind w:right="70" w:hanging="10"/>
      </w:pPr>
      <w:r>
        <w:rPr>
          <w:rFonts w:ascii="Arial" w:eastAsia="Arial" w:hAnsi="Arial" w:cs="Arial"/>
        </w:rPr>
        <w:t>Otroci/mladostniki z nemaligno neoplazmo (npr. LGG...) na kemoterapevtskem zdrav</w:t>
      </w:r>
      <w:r>
        <w:rPr>
          <w:rFonts w:ascii="Arial" w:eastAsia="Arial" w:hAnsi="Arial" w:cs="Arial"/>
        </w:rPr>
        <w:t xml:space="preserve">ljenju / obsevalnem zdravljenju ali manj kot pol leta po intenzivnem kemoterapevtskem zdravljenju </w:t>
      </w:r>
    </w:p>
    <w:p w:rsidR="00DF18EA" w:rsidRDefault="008B1E30">
      <w:pPr>
        <w:numPr>
          <w:ilvl w:val="0"/>
          <w:numId w:val="18"/>
        </w:numPr>
        <w:spacing w:after="8" w:line="268" w:lineRule="auto"/>
        <w:ind w:right="70" w:hanging="10"/>
      </w:pPr>
      <w:r>
        <w:rPr>
          <w:rFonts w:ascii="Arial" w:eastAsia="Arial" w:hAnsi="Arial" w:cs="Arial"/>
        </w:rPr>
        <w:t>Otroci/mladostniki po tranplantaciji krvotvornih matičnih celic, ki prejemajo imunosupresivno terapijo in otroci po transplantaciji krvotvornih matičnih celi</w:t>
      </w:r>
      <w:r>
        <w:rPr>
          <w:rFonts w:ascii="Arial" w:eastAsia="Arial" w:hAnsi="Arial" w:cs="Arial"/>
        </w:rPr>
        <w:t xml:space="preserve">c brez imunosupresivne terapije pri katerih je od transplantacije manj kot leto dni </w:t>
      </w:r>
    </w:p>
    <w:p w:rsidR="00DF18EA" w:rsidRDefault="008B1E30">
      <w:pPr>
        <w:numPr>
          <w:ilvl w:val="0"/>
          <w:numId w:val="18"/>
        </w:numPr>
        <w:spacing w:after="8" w:line="268" w:lineRule="auto"/>
        <w:ind w:right="70" w:hanging="10"/>
      </w:pPr>
      <w:r>
        <w:rPr>
          <w:rFonts w:ascii="Arial" w:eastAsia="Arial" w:hAnsi="Arial" w:cs="Arial"/>
        </w:rPr>
        <w:t xml:space="preserve">Otroci/mladostniki, ki zaradi različnih hematoloških obolenj prejemajo kortikosteroide ali drugo imunosupresivno terapijo </w:t>
      </w:r>
    </w:p>
    <w:p w:rsidR="00DF18EA" w:rsidRDefault="008B1E30">
      <w:pPr>
        <w:numPr>
          <w:ilvl w:val="0"/>
          <w:numId w:val="18"/>
        </w:numPr>
        <w:spacing w:after="8" w:line="268" w:lineRule="auto"/>
        <w:ind w:right="70" w:hanging="10"/>
      </w:pPr>
      <w:r>
        <w:rPr>
          <w:rFonts w:ascii="Arial" w:eastAsia="Arial" w:hAnsi="Arial" w:cs="Arial"/>
        </w:rPr>
        <w:t>Otroci/mladostniki, ki prejemajo biološka oz tar</w:t>
      </w:r>
      <w:r>
        <w:rPr>
          <w:rFonts w:ascii="Arial" w:eastAsia="Arial" w:hAnsi="Arial" w:cs="Arial"/>
        </w:rPr>
        <w:t xml:space="preserve">čna zdravila (večinoma že zajeti v skupini otrok z maligno boleznijo oz neoplazmo) </w:t>
      </w:r>
    </w:p>
    <w:p w:rsidR="00DF18EA" w:rsidRDefault="008B1E30">
      <w:pPr>
        <w:numPr>
          <w:ilvl w:val="0"/>
          <w:numId w:val="18"/>
        </w:numPr>
        <w:spacing w:after="8" w:line="268" w:lineRule="auto"/>
        <w:ind w:right="70" w:hanging="10"/>
      </w:pPr>
      <w:r>
        <w:rPr>
          <w:rFonts w:ascii="Arial" w:eastAsia="Arial" w:hAnsi="Arial" w:cs="Arial"/>
        </w:rPr>
        <w:t>Otroci/mladostniki, ki imajo težko okvaro organov oz organskih sistemov iz naslova osnovne bolezni ali posledic zdravljenja v obsegu, ki ga opredeljujejo druga subspecialna</w:t>
      </w:r>
      <w:r>
        <w:rPr>
          <w:rFonts w:ascii="Arial" w:eastAsia="Arial" w:hAnsi="Arial" w:cs="Arial"/>
        </w:rPr>
        <w:t xml:space="preserve"> področja (nefropatija, kardiomiopatija, okvara pljuč, osrednjega živčevja...) </w:t>
      </w:r>
    </w:p>
    <w:p w:rsidR="00DF18EA" w:rsidRDefault="008B1E30">
      <w:pPr>
        <w:numPr>
          <w:ilvl w:val="0"/>
          <w:numId w:val="18"/>
        </w:numPr>
        <w:spacing w:after="8" w:line="268" w:lineRule="auto"/>
        <w:ind w:right="70" w:hanging="10"/>
      </w:pPr>
      <w:r>
        <w:rPr>
          <w:rFonts w:ascii="Arial" w:eastAsia="Arial" w:hAnsi="Arial" w:cs="Arial"/>
        </w:rPr>
        <w:t xml:space="preserve">Otroci/mladostniki z težkimi nemalignimi hematološkimi stanji (npr. PNH, težka kongenitalna nevtropenija, esencialna trombocitoza...)  </w:t>
      </w:r>
    </w:p>
    <w:p w:rsidR="00DF18EA" w:rsidRDefault="008B1E30">
      <w:pPr>
        <w:numPr>
          <w:ilvl w:val="0"/>
          <w:numId w:val="18"/>
        </w:numPr>
        <w:spacing w:after="8" w:line="268" w:lineRule="auto"/>
        <w:ind w:right="70" w:hanging="10"/>
      </w:pPr>
      <w:r>
        <w:rPr>
          <w:rFonts w:ascii="Arial" w:eastAsia="Arial" w:hAnsi="Arial" w:cs="Arial"/>
        </w:rPr>
        <w:t>Otroci/mladostniki z nemalignimi hematol</w:t>
      </w:r>
      <w:r>
        <w:rPr>
          <w:rFonts w:ascii="Arial" w:eastAsia="Arial" w:hAnsi="Arial" w:cs="Arial"/>
        </w:rPr>
        <w:t xml:space="preserve">oškimi stanji, ki prejemajo imunosupresivno/imunomodulatorno terapijo ali drugo terapijo, ki povečuje tveganje  </w:t>
      </w:r>
    </w:p>
    <w:p w:rsidR="00DF18EA" w:rsidRDefault="008B1E30">
      <w:pPr>
        <w:spacing w:after="19"/>
        <w:ind w:left="96"/>
      </w:pPr>
      <w:r>
        <w:rPr>
          <w:rFonts w:ascii="Arial" w:eastAsia="Arial" w:hAnsi="Arial" w:cs="Arial"/>
          <w:b/>
        </w:rPr>
        <w:t xml:space="preserve"> </w:t>
      </w:r>
    </w:p>
    <w:p w:rsidR="00DF18EA" w:rsidRDefault="008B1E30">
      <w:pPr>
        <w:spacing w:after="16"/>
        <w:ind w:left="91" w:hanging="10"/>
      </w:pPr>
      <w:r>
        <w:rPr>
          <w:rFonts w:ascii="Arial" w:eastAsia="Arial" w:hAnsi="Arial" w:cs="Arial"/>
          <w:b/>
          <w:u w:val="single" w:color="000000"/>
        </w:rPr>
        <w:t>6. Za področje endokrinologija, diabetes in bolezni presnove:</w:t>
      </w:r>
      <w:r>
        <w:rPr>
          <w:rFonts w:ascii="Arial" w:eastAsia="Arial" w:hAnsi="Arial" w:cs="Arial"/>
          <w:b/>
        </w:rPr>
        <w:t xml:space="preserve"> </w:t>
      </w:r>
    </w:p>
    <w:p w:rsidR="00DF18EA" w:rsidRDefault="008B1E30">
      <w:pPr>
        <w:numPr>
          <w:ilvl w:val="0"/>
          <w:numId w:val="19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Otrok s hipokorticizmom </w:t>
      </w:r>
    </w:p>
    <w:p w:rsidR="00DF18EA" w:rsidRDefault="008B1E30">
      <w:pPr>
        <w:numPr>
          <w:ilvl w:val="0"/>
          <w:numId w:val="19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Otroci s težkimi prirojenimi boleznimi presnove </w:t>
      </w:r>
    </w:p>
    <w:p w:rsidR="00DF18EA" w:rsidRDefault="008B1E30">
      <w:pPr>
        <w:numPr>
          <w:ilvl w:val="0"/>
          <w:numId w:val="19"/>
        </w:numPr>
        <w:spacing w:after="8" w:line="268" w:lineRule="auto"/>
        <w:ind w:hanging="138"/>
      </w:pP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</w:rPr>
        <w:t xml:space="preserve">ci s kompleksnimi genetskimi sindromi, ki vključujejo tudi težko imunsko pomanjkljivost </w:t>
      </w:r>
    </w:p>
    <w:p w:rsidR="00DF18EA" w:rsidRDefault="008B1E30">
      <w:pPr>
        <w:spacing w:after="14"/>
        <w:ind w:left="96"/>
      </w:pP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16"/>
        <w:ind w:left="91" w:hanging="10"/>
      </w:pPr>
      <w:r>
        <w:rPr>
          <w:rFonts w:ascii="Arial" w:eastAsia="Arial" w:hAnsi="Arial" w:cs="Arial"/>
          <w:b/>
          <w:u w:val="single" w:color="000000"/>
        </w:rPr>
        <w:t>7. Za področje kardiologije:</w:t>
      </w:r>
      <w:r>
        <w:rPr>
          <w:rFonts w:ascii="Arial" w:eastAsia="Arial" w:hAnsi="Arial" w:cs="Arial"/>
          <w:b/>
        </w:rPr>
        <w:t xml:space="preserve"> </w:t>
      </w:r>
    </w:p>
    <w:p w:rsidR="00DF18EA" w:rsidRDefault="008B1E30">
      <w:pPr>
        <w:numPr>
          <w:ilvl w:val="0"/>
          <w:numId w:val="20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Enojni prekat (HLHS, trikuspidalna atrezija, dvojni vtok v levi prekat) </w:t>
      </w:r>
    </w:p>
    <w:p w:rsidR="00DF18EA" w:rsidRDefault="008B1E30">
      <w:pPr>
        <w:numPr>
          <w:ilvl w:val="0"/>
          <w:numId w:val="20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Pljučna hipertenzija </w:t>
      </w:r>
    </w:p>
    <w:p w:rsidR="00DF18EA" w:rsidRDefault="008B1E30">
      <w:pPr>
        <w:numPr>
          <w:ilvl w:val="0"/>
          <w:numId w:val="20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Nepopravljene prirojene kompleksne srčne napake </w:t>
      </w:r>
    </w:p>
    <w:p w:rsidR="00DF18EA" w:rsidRDefault="008B1E30">
      <w:pPr>
        <w:numPr>
          <w:ilvl w:val="0"/>
          <w:numId w:val="20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Stanje po transplantaciji srca </w:t>
      </w:r>
    </w:p>
    <w:p w:rsidR="00DF18EA" w:rsidRDefault="008B1E30">
      <w:pPr>
        <w:numPr>
          <w:ilvl w:val="0"/>
          <w:numId w:val="20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Simptomatsko srčno popuščanje </w:t>
      </w:r>
    </w:p>
    <w:p w:rsidR="00DF18EA" w:rsidRDefault="008B1E30">
      <w:pPr>
        <w:numPr>
          <w:ilvl w:val="0"/>
          <w:numId w:val="20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Simptomatske hude napake srčnih zaklopk </w:t>
      </w:r>
    </w:p>
    <w:p w:rsidR="00DF18EA" w:rsidRDefault="008B1E30">
      <w:pPr>
        <w:numPr>
          <w:ilvl w:val="0"/>
          <w:numId w:val="20"/>
        </w:numPr>
        <w:spacing w:after="8" w:line="268" w:lineRule="auto"/>
        <w:ind w:hanging="138"/>
      </w:pPr>
      <w:r>
        <w:rPr>
          <w:rFonts w:ascii="Arial" w:eastAsia="Arial" w:hAnsi="Arial" w:cs="Arial"/>
        </w:rPr>
        <w:t xml:space="preserve">Stanje po operaciji srčnih zaklopk (do 3 mesece od operacije) </w:t>
      </w:r>
    </w:p>
    <w:p w:rsidR="00DF18EA" w:rsidRDefault="008B1E30">
      <w:pPr>
        <w:spacing w:after="19"/>
        <w:ind w:left="96"/>
      </w:pP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2" w:line="274" w:lineRule="auto"/>
        <w:ind w:left="91" w:hanging="10"/>
      </w:pPr>
      <w:r>
        <w:rPr>
          <w:rFonts w:ascii="Arial" w:eastAsia="Arial" w:hAnsi="Arial" w:cs="Arial"/>
          <w:b/>
        </w:rPr>
        <w:t>Sorojenci in starši tistih otrok z večjim tveganjem, vključno z otroci, ki bodo prejeli potrdilo, pa gredo lahko v šolo oz. službo, vendar morajo biti posebej pozorni na simptome in strogo upoštevati vsa navodila za preprečevanje okužbe.</w:t>
      </w: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0"/>
        <w:ind w:left="96"/>
      </w:pPr>
      <w:r>
        <w:rPr>
          <w:rFonts w:ascii="Arial" w:eastAsia="Arial" w:hAnsi="Arial" w:cs="Arial"/>
        </w:rPr>
        <w:t xml:space="preserve"> </w:t>
      </w:r>
    </w:p>
    <w:p w:rsidR="0026175C" w:rsidRDefault="002617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DF18EA" w:rsidRDefault="008B1E30">
      <w:pPr>
        <w:spacing w:after="8" w:line="268" w:lineRule="auto"/>
        <w:ind w:left="91" w:hanging="10"/>
      </w:pPr>
      <w:r>
        <w:rPr>
          <w:rFonts w:ascii="Arial" w:eastAsia="Arial" w:hAnsi="Arial" w:cs="Arial"/>
        </w:rPr>
        <w:t>Sklep: RSK za p</w:t>
      </w:r>
      <w:r>
        <w:rPr>
          <w:rFonts w:ascii="Arial" w:eastAsia="Arial" w:hAnsi="Arial" w:cs="Arial"/>
        </w:rPr>
        <w:t xml:space="preserve">ediatrijno bo ob pomoči vodilnih strokovnjakov s področja pediatrije še naprej zelo aktivno spremljal strokovno literaturo o SARS-CoV-2 virusu in </w:t>
      </w:r>
      <w:r>
        <w:rPr>
          <w:rFonts w:ascii="Arial" w:eastAsia="Arial" w:hAnsi="Arial" w:cs="Arial"/>
        </w:rPr>
        <w:lastRenderedPageBreak/>
        <w:t>epidemiološko stanje v Sloveniji in bo ustrezno temu prilagajal stališča glede obravnave otrok s kroničnimi bo</w:t>
      </w:r>
      <w:r>
        <w:rPr>
          <w:rFonts w:ascii="Arial" w:eastAsia="Arial" w:hAnsi="Arial" w:cs="Arial"/>
        </w:rPr>
        <w:t xml:space="preserve">leznimi.  </w:t>
      </w:r>
    </w:p>
    <w:p w:rsidR="00DF18EA" w:rsidRDefault="008B1E30">
      <w:pPr>
        <w:spacing w:after="19"/>
        <w:ind w:left="96"/>
      </w:pP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19"/>
        <w:ind w:left="96"/>
      </w:pP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14"/>
        <w:ind w:left="96"/>
      </w:pPr>
      <w:r>
        <w:rPr>
          <w:rFonts w:ascii="Arial" w:eastAsia="Arial" w:hAnsi="Arial" w:cs="Arial"/>
        </w:rPr>
        <w:t xml:space="preserve">  </w:t>
      </w:r>
    </w:p>
    <w:p w:rsidR="00DF18EA" w:rsidRDefault="008B1E30">
      <w:pPr>
        <w:spacing w:after="30"/>
        <w:ind w:left="96"/>
      </w:pP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0"/>
        <w:ind w:left="116"/>
      </w:pPr>
      <w:r>
        <w:rPr>
          <w:noProof/>
        </w:rPr>
        <w:drawing>
          <wp:inline distT="0" distB="0" distL="0" distR="0">
            <wp:extent cx="2147470" cy="496570"/>
            <wp:effectExtent l="0" t="0" r="0" b="0"/>
            <wp:docPr id="3223" name="Picture 3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3" name="Picture 32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747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14"/>
        <w:ind w:left="96"/>
      </w:pPr>
      <w:r>
        <w:rPr>
          <w:rFonts w:ascii="Arial" w:eastAsia="Arial" w:hAnsi="Arial" w:cs="Arial"/>
        </w:rPr>
        <w:t xml:space="preserve"> </w:t>
      </w:r>
    </w:p>
    <w:p w:rsidR="00DF18EA" w:rsidRDefault="008B1E30">
      <w:pPr>
        <w:spacing w:after="8" w:line="268" w:lineRule="auto"/>
        <w:ind w:left="91" w:hanging="10"/>
      </w:pPr>
      <w:r>
        <w:rPr>
          <w:rFonts w:ascii="Arial" w:eastAsia="Arial" w:hAnsi="Arial" w:cs="Arial"/>
        </w:rPr>
        <w:t xml:space="preserve">izred. prof. dr. Nataša Bratina, dr. med </w:t>
      </w:r>
    </w:p>
    <w:p w:rsidR="00DF18EA" w:rsidRDefault="008B1E30">
      <w:pPr>
        <w:spacing w:after="8" w:line="268" w:lineRule="auto"/>
        <w:ind w:left="91" w:hanging="10"/>
      </w:pPr>
      <w:r>
        <w:rPr>
          <w:rFonts w:ascii="Arial" w:eastAsia="Arial" w:hAnsi="Arial" w:cs="Arial"/>
        </w:rPr>
        <w:t xml:space="preserve">Predsednica RSK za pediatrijo  </w:t>
      </w:r>
    </w:p>
    <w:p w:rsidR="00DF18EA" w:rsidRDefault="008B1E30">
      <w:pPr>
        <w:spacing w:after="0"/>
        <w:ind w:left="96"/>
      </w:pPr>
      <w:r>
        <w:rPr>
          <w:rFonts w:ascii="Arial" w:eastAsia="Arial" w:hAnsi="Arial" w:cs="Arial"/>
        </w:rPr>
        <w:t xml:space="preserve">  </w:t>
      </w:r>
    </w:p>
    <w:sectPr w:rsidR="00DF18EA">
      <w:footerReference w:type="even" r:id="rId10"/>
      <w:footerReference w:type="default" r:id="rId11"/>
      <w:footerReference w:type="first" r:id="rId12"/>
      <w:pgSz w:w="11900" w:h="16840"/>
      <w:pgMar w:top="1705" w:right="1711" w:bottom="1135" w:left="1608" w:header="708" w:footer="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1E30">
      <w:pPr>
        <w:spacing w:after="0" w:line="240" w:lineRule="auto"/>
      </w:pPr>
      <w:r>
        <w:separator/>
      </w:r>
    </w:p>
  </w:endnote>
  <w:endnote w:type="continuationSeparator" w:id="0">
    <w:p w:rsidR="00000000" w:rsidRDefault="008B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EA" w:rsidRDefault="00DF18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EA" w:rsidRDefault="00DF18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EA" w:rsidRDefault="00DF18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EA" w:rsidRDefault="008B1E30">
      <w:pPr>
        <w:spacing w:after="0" w:line="251" w:lineRule="auto"/>
        <w:ind w:left="77" w:right="515"/>
      </w:pPr>
      <w:r>
        <w:separator/>
      </w:r>
    </w:p>
  </w:footnote>
  <w:footnote w:type="continuationSeparator" w:id="0">
    <w:p w:rsidR="00DF18EA" w:rsidRDefault="008B1E30">
      <w:pPr>
        <w:spacing w:after="0" w:line="251" w:lineRule="auto"/>
        <w:ind w:left="77" w:right="51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999"/>
    <w:multiLevelType w:val="hybridMultilevel"/>
    <w:tmpl w:val="FD9A8530"/>
    <w:lvl w:ilvl="0" w:tplc="20861D5A">
      <w:start w:val="1"/>
      <w:numFmt w:val="bullet"/>
      <w:lvlText w:val="•"/>
      <w:lvlJc w:val="left"/>
      <w:pPr>
        <w:ind w:left="565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EE24E">
      <w:start w:val="1"/>
      <w:numFmt w:val="bullet"/>
      <w:lvlText w:val="o"/>
      <w:lvlJc w:val="left"/>
      <w:pPr>
        <w:ind w:left="1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46D94">
      <w:start w:val="1"/>
      <w:numFmt w:val="bullet"/>
      <w:lvlText w:val="▪"/>
      <w:lvlJc w:val="left"/>
      <w:pPr>
        <w:ind w:left="1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64D44">
      <w:start w:val="1"/>
      <w:numFmt w:val="bullet"/>
      <w:lvlText w:val="•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C5C78">
      <w:start w:val="1"/>
      <w:numFmt w:val="bullet"/>
      <w:lvlText w:val="o"/>
      <w:lvlJc w:val="left"/>
      <w:pPr>
        <w:ind w:left="3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602A8">
      <w:start w:val="1"/>
      <w:numFmt w:val="bullet"/>
      <w:lvlText w:val="▪"/>
      <w:lvlJc w:val="left"/>
      <w:pPr>
        <w:ind w:left="4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ECD6C">
      <w:start w:val="1"/>
      <w:numFmt w:val="bullet"/>
      <w:lvlText w:val="•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4584">
      <w:start w:val="1"/>
      <w:numFmt w:val="bullet"/>
      <w:lvlText w:val="o"/>
      <w:lvlJc w:val="left"/>
      <w:pPr>
        <w:ind w:left="5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2D8A2">
      <w:start w:val="1"/>
      <w:numFmt w:val="bullet"/>
      <w:lvlText w:val="▪"/>
      <w:lvlJc w:val="left"/>
      <w:pPr>
        <w:ind w:left="6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B4C28"/>
    <w:multiLevelType w:val="hybridMultilevel"/>
    <w:tmpl w:val="C8D05C38"/>
    <w:lvl w:ilvl="0" w:tplc="2CCAC6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BE3BE6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D8C1F8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0EA7B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546AA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20738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2A9E8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0470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EF88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B1EAD"/>
    <w:multiLevelType w:val="hybridMultilevel"/>
    <w:tmpl w:val="2446E27A"/>
    <w:lvl w:ilvl="0" w:tplc="EABE01EA">
      <w:start w:val="1"/>
      <w:numFmt w:val="decimal"/>
      <w:pStyle w:val="Naslov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7D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5E8A74E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/>
        <w:bCs/>
        <w:i w:val="0"/>
        <w:strike w:val="0"/>
        <w:dstrike w:val="0"/>
        <w:color w:val="007D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D941314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/>
        <w:bCs/>
        <w:i w:val="0"/>
        <w:strike w:val="0"/>
        <w:dstrike w:val="0"/>
        <w:color w:val="007D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EABCB2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/>
        <w:bCs/>
        <w:i w:val="0"/>
        <w:strike w:val="0"/>
        <w:dstrike w:val="0"/>
        <w:color w:val="007D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EC7F9A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/>
        <w:bCs/>
        <w:i w:val="0"/>
        <w:strike w:val="0"/>
        <w:dstrike w:val="0"/>
        <w:color w:val="007D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726592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/>
        <w:bCs/>
        <w:i w:val="0"/>
        <w:strike w:val="0"/>
        <w:dstrike w:val="0"/>
        <w:color w:val="007D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DB4FF0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/>
        <w:bCs/>
        <w:i w:val="0"/>
        <w:strike w:val="0"/>
        <w:dstrike w:val="0"/>
        <w:color w:val="007D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E6488E4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/>
        <w:bCs/>
        <w:i w:val="0"/>
        <w:strike w:val="0"/>
        <w:dstrike w:val="0"/>
        <w:color w:val="007D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46A0C1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/>
        <w:bCs/>
        <w:i w:val="0"/>
        <w:strike w:val="0"/>
        <w:dstrike w:val="0"/>
        <w:color w:val="007D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36634"/>
    <w:multiLevelType w:val="hybridMultilevel"/>
    <w:tmpl w:val="68FE42F8"/>
    <w:lvl w:ilvl="0" w:tplc="A7608EDC">
      <w:start w:val="1"/>
      <w:numFmt w:val="bullet"/>
      <w:lvlText w:val="•"/>
      <w:lvlJc w:val="left"/>
      <w:pPr>
        <w:ind w:left="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9051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203E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AF3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85B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65C4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6E8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E6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63B8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1062BD"/>
    <w:multiLevelType w:val="hybridMultilevel"/>
    <w:tmpl w:val="8C6ECBBC"/>
    <w:lvl w:ilvl="0" w:tplc="60A4FA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C5242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8A98A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EC224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01068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E106C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ED2F8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20954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2B31E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761B7A"/>
    <w:multiLevelType w:val="hybridMultilevel"/>
    <w:tmpl w:val="A50EBB98"/>
    <w:lvl w:ilvl="0" w:tplc="3E466F04">
      <w:start w:val="1"/>
      <w:numFmt w:val="decimal"/>
      <w:lvlText w:val="%1."/>
      <w:lvlJc w:val="left"/>
      <w:pPr>
        <w:ind w:left="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76146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46F68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E519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818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68EC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02F3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62BA7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E64358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74F2F"/>
    <w:multiLevelType w:val="hybridMultilevel"/>
    <w:tmpl w:val="EB548D04"/>
    <w:lvl w:ilvl="0" w:tplc="62B2AAEC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4308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A45B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8E95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4248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CBB3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0C22E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8778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0512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3E1049"/>
    <w:multiLevelType w:val="hybridMultilevel"/>
    <w:tmpl w:val="C24EDFC0"/>
    <w:lvl w:ilvl="0" w:tplc="7F76735E">
      <w:start w:val="1"/>
      <w:numFmt w:val="bullet"/>
      <w:lvlText w:val="-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237C4">
      <w:start w:val="1"/>
      <w:numFmt w:val="bullet"/>
      <w:lvlText w:val="o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6288A">
      <w:start w:val="1"/>
      <w:numFmt w:val="bullet"/>
      <w:lvlText w:val="▪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0570E">
      <w:start w:val="1"/>
      <w:numFmt w:val="bullet"/>
      <w:lvlText w:val="•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842F2">
      <w:start w:val="1"/>
      <w:numFmt w:val="bullet"/>
      <w:lvlText w:val="o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A24A4">
      <w:start w:val="1"/>
      <w:numFmt w:val="bullet"/>
      <w:lvlText w:val="▪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2A03E">
      <w:start w:val="1"/>
      <w:numFmt w:val="bullet"/>
      <w:lvlText w:val="•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26D2E">
      <w:start w:val="1"/>
      <w:numFmt w:val="bullet"/>
      <w:lvlText w:val="o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850D2">
      <w:start w:val="1"/>
      <w:numFmt w:val="bullet"/>
      <w:lvlText w:val="▪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1512BE"/>
    <w:multiLevelType w:val="hybridMultilevel"/>
    <w:tmpl w:val="73E0CC86"/>
    <w:lvl w:ilvl="0" w:tplc="CBD8B24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CD8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CF8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E46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C8D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4E6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08E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6B3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E9F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1849BA"/>
    <w:multiLevelType w:val="hybridMultilevel"/>
    <w:tmpl w:val="413281CC"/>
    <w:lvl w:ilvl="0" w:tplc="08749338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250F0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EAE50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E07EC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65FBC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6283A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0BB84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4F78A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A62B4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E61352"/>
    <w:multiLevelType w:val="hybridMultilevel"/>
    <w:tmpl w:val="CB120294"/>
    <w:lvl w:ilvl="0" w:tplc="41EC4B04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A68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69F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EC9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2EB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451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7A0E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EBC8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CF5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E84161"/>
    <w:multiLevelType w:val="hybridMultilevel"/>
    <w:tmpl w:val="AE740F80"/>
    <w:lvl w:ilvl="0" w:tplc="041CE5AE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EE2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0601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8B8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0E68B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843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A38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81A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A82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154426"/>
    <w:multiLevelType w:val="hybridMultilevel"/>
    <w:tmpl w:val="40D6A11E"/>
    <w:lvl w:ilvl="0" w:tplc="920E915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0E2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98F3D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0CFB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6DF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860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C6C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C4F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2401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4D0B71"/>
    <w:multiLevelType w:val="hybridMultilevel"/>
    <w:tmpl w:val="5782AEE8"/>
    <w:lvl w:ilvl="0" w:tplc="7A78EA48">
      <w:start w:val="1"/>
      <w:numFmt w:val="bullet"/>
      <w:lvlText w:val="•"/>
      <w:lvlJc w:val="left"/>
      <w:pPr>
        <w:ind w:left="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88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4568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88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EEF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C7A4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00F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063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648A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EB78A5"/>
    <w:multiLevelType w:val="hybridMultilevel"/>
    <w:tmpl w:val="425E8C96"/>
    <w:lvl w:ilvl="0" w:tplc="E37CB6EE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3EAE8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690D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244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E1B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EF1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FCAD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C11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CA639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1925F5"/>
    <w:multiLevelType w:val="hybridMultilevel"/>
    <w:tmpl w:val="E74E541A"/>
    <w:lvl w:ilvl="0" w:tplc="E7B6C4A8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AC94C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0BBA6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8E978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8B33C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AA078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AF30A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E13DE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C4C16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994299"/>
    <w:multiLevelType w:val="hybridMultilevel"/>
    <w:tmpl w:val="52DC297E"/>
    <w:lvl w:ilvl="0" w:tplc="264455BE">
      <w:start w:val="1"/>
      <w:numFmt w:val="bullet"/>
      <w:lvlText w:val="-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 w:tplc="D6FAEF12">
      <w:start w:val="1"/>
      <w:numFmt w:val="bullet"/>
      <w:lvlText w:val="o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3F18E726">
      <w:start w:val="1"/>
      <w:numFmt w:val="bullet"/>
      <w:lvlText w:val="▪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4B10027C">
      <w:start w:val="1"/>
      <w:numFmt w:val="bullet"/>
      <w:lvlText w:val="•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C1BA85D0">
      <w:start w:val="1"/>
      <w:numFmt w:val="bullet"/>
      <w:lvlText w:val="o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FF5C2058">
      <w:start w:val="1"/>
      <w:numFmt w:val="bullet"/>
      <w:lvlText w:val="▪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4DE82A68">
      <w:start w:val="1"/>
      <w:numFmt w:val="bullet"/>
      <w:lvlText w:val="•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4EF2FD36">
      <w:start w:val="1"/>
      <w:numFmt w:val="bullet"/>
      <w:lvlText w:val="o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97285766">
      <w:start w:val="1"/>
      <w:numFmt w:val="bullet"/>
      <w:lvlText w:val="▪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7" w15:restartNumberingAfterBreak="0">
    <w:nsid w:val="6FE033D4"/>
    <w:multiLevelType w:val="hybridMultilevel"/>
    <w:tmpl w:val="0812E096"/>
    <w:lvl w:ilvl="0" w:tplc="723C0078">
      <w:start w:val="1"/>
      <w:numFmt w:val="bullet"/>
      <w:lvlText w:val="•"/>
      <w:lvlJc w:val="left"/>
      <w:pPr>
        <w:ind w:left="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0A4AB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635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2CE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610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45C4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C26E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E210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C4BE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027908"/>
    <w:multiLevelType w:val="hybridMultilevel"/>
    <w:tmpl w:val="FCE4620E"/>
    <w:lvl w:ilvl="0" w:tplc="4C94602E">
      <w:start w:val="1"/>
      <w:numFmt w:val="bullet"/>
      <w:lvlText w:val="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6524A">
      <w:start w:val="1"/>
      <w:numFmt w:val="bullet"/>
      <w:lvlText w:val="o"/>
      <w:lvlJc w:val="left"/>
      <w:pPr>
        <w:ind w:left="1299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2479EA">
      <w:start w:val="1"/>
      <w:numFmt w:val="bullet"/>
      <w:lvlText w:val="▪"/>
      <w:lvlJc w:val="left"/>
      <w:pPr>
        <w:ind w:left="2019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DE8EFE">
      <w:start w:val="1"/>
      <w:numFmt w:val="bullet"/>
      <w:lvlText w:val="•"/>
      <w:lvlJc w:val="left"/>
      <w:pPr>
        <w:ind w:left="2739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2C7358">
      <w:start w:val="1"/>
      <w:numFmt w:val="bullet"/>
      <w:lvlText w:val="o"/>
      <w:lvlJc w:val="left"/>
      <w:pPr>
        <w:ind w:left="3459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82A9A">
      <w:start w:val="1"/>
      <w:numFmt w:val="bullet"/>
      <w:lvlText w:val="▪"/>
      <w:lvlJc w:val="left"/>
      <w:pPr>
        <w:ind w:left="4179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C4D83A">
      <w:start w:val="1"/>
      <w:numFmt w:val="bullet"/>
      <w:lvlText w:val="•"/>
      <w:lvlJc w:val="left"/>
      <w:pPr>
        <w:ind w:left="4899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070AC">
      <w:start w:val="1"/>
      <w:numFmt w:val="bullet"/>
      <w:lvlText w:val="o"/>
      <w:lvlJc w:val="left"/>
      <w:pPr>
        <w:ind w:left="5619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2A14C">
      <w:start w:val="1"/>
      <w:numFmt w:val="bullet"/>
      <w:lvlText w:val="▪"/>
      <w:lvlJc w:val="left"/>
      <w:pPr>
        <w:ind w:left="6339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36550D"/>
    <w:multiLevelType w:val="hybridMultilevel"/>
    <w:tmpl w:val="550E5B3C"/>
    <w:lvl w:ilvl="0" w:tplc="83A610E8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7756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4F554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06B6E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03C7C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80558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4E654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602CC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0F896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3C6D22"/>
    <w:multiLevelType w:val="hybridMultilevel"/>
    <w:tmpl w:val="DE608272"/>
    <w:lvl w:ilvl="0" w:tplc="B41628D4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2B3E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6A88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C42E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E505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EBC6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CE4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E89C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6F21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0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16"/>
  </w:num>
  <w:num w:numId="13">
    <w:abstractNumId w:val="7"/>
  </w:num>
  <w:num w:numId="14">
    <w:abstractNumId w:val="17"/>
  </w:num>
  <w:num w:numId="15">
    <w:abstractNumId w:val="10"/>
  </w:num>
  <w:num w:numId="16">
    <w:abstractNumId w:val="13"/>
  </w:num>
  <w:num w:numId="17">
    <w:abstractNumId w:val="14"/>
  </w:num>
  <w:num w:numId="18">
    <w:abstractNumId w:val="3"/>
  </w:num>
  <w:num w:numId="19">
    <w:abstractNumId w:val="11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EA"/>
    <w:rsid w:val="0026175C"/>
    <w:rsid w:val="008B1E30"/>
    <w:rsid w:val="00DF18EA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48C5"/>
  <w15:docId w15:val="{785B8AD0-B675-451D-94E6-5B2BB123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21"/>
      </w:numPr>
      <w:spacing w:after="115" w:line="263" w:lineRule="auto"/>
      <w:ind w:left="87" w:hanging="10"/>
      <w:outlineLvl w:val="0"/>
    </w:pPr>
    <w:rPr>
      <w:rFonts w:ascii="Calibri" w:eastAsia="Calibri" w:hAnsi="Calibri" w:cs="Calibri"/>
      <w:b/>
      <w:color w:val="007DC5"/>
      <w:sz w:val="32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87" w:hanging="10"/>
      <w:outlineLvl w:val="1"/>
    </w:pPr>
    <w:rPr>
      <w:rFonts w:ascii="Calibri" w:eastAsia="Calibri" w:hAnsi="Calibri" w:cs="Calibri"/>
      <w:b/>
      <w:color w:val="007DC5"/>
      <w:sz w:val="28"/>
      <w:u w:val="single" w:color="007DC5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92"/>
      <w:ind w:left="87" w:hanging="10"/>
      <w:outlineLvl w:val="2"/>
    </w:pPr>
    <w:rPr>
      <w:rFonts w:ascii="Calibri" w:eastAsia="Calibri" w:hAnsi="Calibri" w:cs="Calibri"/>
      <w:b/>
      <w:color w:val="007DC5"/>
      <w:sz w:val="24"/>
      <w:u w:val="single" w:color="007DC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rPr>
      <w:rFonts w:ascii="Calibri" w:eastAsia="Calibri" w:hAnsi="Calibri" w:cs="Calibri"/>
      <w:b/>
      <w:color w:val="007DC5"/>
      <w:sz w:val="24"/>
      <w:u w:val="single" w:color="007DC5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b/>
      <w:color w:val="007DC5"/>
      <w:sz w:val="28"/>
      <w:u w:val="single" w:color="007DC5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0" w:line="251" w:lineRule="auto"/>
      <w:ind w:left="77" w:right="301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7DC5"/>
      <w:sz w:val="3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56F07F-4C80-4AA2-9E6C-5263657A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cp:lastModifiedBy>Skrbnik</cp:lastModifiedBy>
  <cp:revision>3</cp:revision>
  <dcterms:created xsi:type="dcterms:W3CDTF">2020-05-29T10:23:00Z</dcterms:created>
  <dcterms:modified xsi:type="dcterms:W3CDTF">2020-05-29T10:25:00Z</dcterms:modified>
</cp:coreProperties>
</file>